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78" w:type="dxa"/>
        <w:tblLayout w:type="fixed"/>
        <w:tblCellMar>
          <w:left w:w="178" w:type="dxa"/>
          <w:right w:w="178" w:type="dxa"/>
        </w:tblCellMar>
        <w:tblLook w:val="0000"/>
      </w:tblPr>
      <w:tblGrid>
        <w:gridCol w:w="6120"/>
        <w:gridCol w:w="3240"/>
      </w:tblGrid>
      <w:tr w:rsidR="00504A77">
        <w:tc>
          <w:tcPr>
            <w:tcW w:w="6120" w:type="dxa"/>
            <w:tcBorders>
              <w:top w:val="single" w:sz="24" w:space="0" w:color="000000"/>
              <w:left w:val="single" w:sz="24" w:space="0" w:color="000000"/>
              <w:bottom w:val="single" w:sz="6" w:space="0" w:color="FFFFFF"/>
              <w:right w:val="double" w:sz="12" w:space="0" w:color="000000"/>
            </w:tcBorders>
            <w:shd w:val="pct10" w:color="000000" w:fill="FFFFFF"/>
          </w:tcPr>
          <w:p w:rsidR="00504A77" w:rsidRDefault="00504A77">
            <w:pPr>
              <w:rPr>
                <w:rFonts w:ascii="Arial" w:hAnsi="Arial"/>
                <w:i/>
                <w:color w:val="000000"/>
                <w:sz w:val="24"/>
                <w:szCs w:val="24"/>
              </w:rPr>
            </w:pPr>
            <w:bookmarkStart w:id="0" w:name="_GoBack"/>
            <w:bookmarkEnd w:id="0"/>
          </w:p>
          <w:p w:rsidR="00504A77" w:rsidRDefault="00504A77">
            <w:pPr>
              <w:rPr>
                <w:rFonts w:ascii="Arial" w:hAnsi="Arial"/>
                <w:i/>
                <w:color w:val="000000"/>
                <w:sz w:val="24"/>
                <w:szCs w:val="24"/>
              </w:rPr>
            </w:pPr>
          </w:p>
        </w:tc>
        <w:tc>
          <w:tcPr>
            <w:tcW w:w="3240" w:type="dxa"/>
            <w:tcBorders>
              <w:top w:val="single" w:sz="24" w:space="0" w:color="000000"/>
              <w:left w:val="double" w:sz="12" w:space="0" w:color="000000"/>
              <w:bottom w:val="single" w:sz="6" w:space="0" w:color="FFFFFF"/>
              <w:right w:val="single" w:sz="24" w:space="0" w:color="000000"/>
            </w:tcBorders>
          </w:tcPr>
          <w:p w:rsidR="00504A77" w:rsidRDefault="00504A77">
            <w:pPr>
              <w:spacing w:line="234" w:lineRule="exact"/>
              <w:rPr>
                <w:rFonts w:ascii="Arial" w:hAnsi="Arial"/>
                <w:i/>
                <w:color w:val="000000"/>
                <w:sz w:val="24"/>
                <w:szCs w:val="24"/>
              </w:rPr>
            </w:pPr>
            <w:r>
              <w:rPr>
                <w:rFonts w:ascii="Arial" w:hAnsi="Arial"/>
                <w:i/>
                <w:color w:val="000000"/>
                <w:sz w:val="24"/>
                <w:szCs w:val="24"/>
              </w:rPr>
              <w:t xml:space="preserve"> </w:t>
            </w:r>
          </w:p>
          <w:p w:rsidR="00504A77" w:rsidRDefault="00504A77">
            <w:pPr>
              <w:spacing w:line="234" w:lineRule="exact"/>
              <w:rPr>
                <w:rFonts w:ascii="Arial" w:hAnsi="Arial"/>
                <w:i/>
                <w:color w:val="000000"/>
                <w:sz w:val="24"/>
                <w:szCs w:val="24"/>
              </w:rPr>
            </w:pPr>
            <w:r>
              <w:rPr>
                <w:rFonts w:ascii="Arial" w:hAnsi="Arial"/>
                <w:i/>
                <w:color w:val="000000"/>
                <w:sz w:val="24"/>
                <w:szCs w:val="24"/>
              </w:rPr>
              <w:t xml:space="preserve"> </w:t>
            </w:r>
          </w:p>
          <w:p w:rsidR="00504A77" w:rsidRDefault="000548A9">
            <w:pPr>
              <w:pStyle w:val="Heading2"/>
              <w:keepNext w:val="0"/>
              <w:rPr>
                <w:rFonts w:ascii="Arial" w:hAnsi="Arial"/>
                <w:color w:val="000000"/>
                <w:szCs w:val="24"/>
              </w:rPr>
            </w:pPr>
            <w:r>
              <w:rPr>
                <w:rFonts w:ascii="Arial" w:hAnsi="Arial"/>
                <w:color w:val="000000"/>
                <w:szCs w:val="24"/>
              </w:rPr>
              <w:t xml:space="preserve">Page 1 of </w:t>
            </w:r>
            <w:r w:rsidR="004F6C14">
              <w:rPr>
                <w:rFonts w:ascii="Arial" w:hAnsi="Arial"/>
                <w:color w:val="000000"/>
                <w:szCs w:val="24"/>
              </w:rPr>
              <w:t>2</w:t>
            </w:r>
          </w:p>
        </w:tc>
      </w:tr>
      <w:tr w:rsidR="00504A77">
        <w:tc>
          <w:tcPr>
            <w:tcW w:w="6120" w:type="dxa"/>
            <w:tcBorders>
              <w:top w:val="single" w:sz="6" w:space="0" w:color="FFFFFF"/>
              <w:left w:val="single" w:sz="24" w:space="0" w:color="000000"/>
              <w:bottom w:val="double" w:sz="12" w:space="0" w:color="000000"/>
              <w:right w:val="double" w:sz="12" w:space="0" w:color="000000"/>
            </w:tcBorders>
            <w:shd w:val="pct10" w:color="000000" w:fill="FFFFFF"/>
          </w:tcPr>
          <w:p w:rsidR="00504A77" w:rsidRDefault="00504A77">
            <w:pPr>
              <w:spacing w:line="201" w:lineRule="exact"/>
              <w:rPr>
                <w:rFonts w:ascii="Arial" w:hAnsi="Arial"/>
                <w:i/>
                <w:color w:val="000000"/>
                <w:sz w:val="24"/>
                <w:szCs w:val="24"/>
              </w:rPr>
            </w:pPr>
          </w:p>
          <w:p w:rsidR="00504A77" w:rsidRDefault="00504A77">
            <w:pPr>
              <w:pStyle w:val="Heading1"/>
              <w:keepNext w:val="0"/>
            </w:pPr>
            <w:proofErr w:type="gramStart"/>
            <w:r>
              <w:t>Policy  [</w:t>
            </w:r>
            <w:proofErr w:type="gramEnd"/>
            <w:r>
              <w:t>x]</w:t>
            </w:r>
            <w:r>
              <w:tab/>
              <w:t>Procedure  [x]</w:t>
            </w:r>
          </w:p>
        </w:tc>
        <w:tc>
          <w:tcPr>
            <w:tcW w:w="3240" w:type="dxa"/>
            <w:tcBorders>
              <w:top w:val="double" w:sz="7" w:space="0" w:color="000000"/>
              <w:left w:val="double" w:sz="12" w:space="0" w:color="000000"/>
              <w:bottom w:val="double" w:sz="7" w:space="0" w:color="000000"/>
              <w:right w:val="single" w:sz="24" w:space="0" w:color="000000"/>
            </w:tcBorders>
          </w:tcPr>
          <w:p w:rsidR="00504A77" w:rsidRDefault="00504A77">
            <w:pPr>
              <w:spacing w:line="201" w:lineRule="exact"/>
              <w:rPr>
                <w:rFonts w:ascii="Arial" w:hAnsi="Arial"/>
                <w:i/>
                <w:color w:val="000000"/>
                <w:sz w:val="24"/>
                <w:szCs w:val="24"/>
              </w:rPr>
            </w:pPr>
          </w:p>
          <w:p w:rsidR="00504A77" w:rsidRDefault="000548A9">
            <w:pPr>
              <w:rPr>
                <w:rFonts w:ascii="Arial" w:hAnsi="Arial"/>
                <w:i/>
                <w:color w:val="000000"/>
                <w:sz w:val="24"/>
                <w:szCs w:val="24"/>
              </w:rPr>
            </w:pPr>
            <w:r>
              <w:rPr>
                <w:rFonts w:ascii="Arial" w:hAnsi="Arial"/>
                <w:i/>
                <w:color w:val="000000"/>
                <w:sz w:val="24"/>
                <w:szCs w:val="24"/>
              </w:rPr>
              <w:t xml:space="preserve">Effective Date: </w:t>
            </w:r>
            <w:r w:rsidR="00C94CB4">
              <w:rPr>
                <w:rFonts w:ascii="Arial" w:hAnsi="Arial"/>
                <w:i/>
                <w:color w:val="000000"/>
                <w:sz w:val="24"/>
                <w:szCs w:val="24"/>
              </w:rPr>
              <w:t xml:space="preserve"> </w:t>
            </w:r>
          </w:p>
          <w:p w:rsidR="00504A77" w:rsidRDefault="00504A77" w:rsidP="003F3FB9">
            <w:pPr>
              <w:spacing w:after="58"/>
              <w:rPr>
                <w:rFonts w:ascii="Arial" w:hAnsi="Arial"/>
                <w:i/>
                <w:color w:val="000000"/>
                <w:sz w:val="24"/>
                <w:szCs w:val="24"/>
              </w:rPr>
            </w:pPr>
            <w:r>
              <w:rPr>
                <w:rFonts w:ascii="Arial" w:hAnsi="Arial"/>
                <w:i/>
                <w:color w:val="000000"/>
                <w:sz w:val="24"/>
                <w:szCs w:val="24"/>
              </w:rPr>
              <w:t xml:space="preserve">Revised:  </w:t>
            </w:r>
            <w:r w:rsidR="003F3FB9">
              <w:rPr>
                <w:rFonts w:ascii="Arial" w:hAnsi="Arial"/>
                <w:i/>
                <w:color w:val="000000"/>
                <w:sz w:val="24"/>
                <w:szCs w:val="24"/>
              </w:rPr>
              <w:t xml:space="preserve"> </w:t>
            </w:r>
          </w:p>
        </w:tc>
      </w:tr>
      <w:tr w:rsidR="00504A77">
        <w:tblPrEx>
          <w:tblCellMar>
            <w:left w:w="210" w:type="dxa"/>
            <w:right w:w="210" w:type="dxa"/>
          </w:tblCellMar>
        </w:tblPrEx>
        <w:tc>
          <w:tcPr>
            <w:tcW w:w="9360" w:type="dxa"/>
            <w:gridSpan w:val="2"/>
            <w:tcBorders>
              <w:top w:val="double" w:sz="7" w:space="0" w:color="000000"/>
              <w:left w:val="single" w:sz="24" w:space="0" w:color="000000"/>
              <w:bottom w:val="double" w:sz="7" w:space="0" w:color="000000"/>
              <w:right w:val="single" w:sz="24" w:space="0" w:color="000000"/>
            </w:tcBorders>
          </w:tcPr>
          <w:p w:rsidR="00504A77" w:rsidRDefault="00504A77">
            <w:pPr>
              <w:spacing w:line="201" w:lineRule="exact"/>
              <w:rPr>
                <w:rFonts w:ascii="Arial" w:hAnsi="Arial"/>
                <w:i/>
                <w:color w:val="000000"/>
                <w:sz w:val="24"/>
                <w:szCs w:val="24"/>
              </w:rPr>
            </w:pPr>
          </w:p>
          <w:p w:rsidR="00504A77" w:rsidRDefault="000548A9" w:rsidP="003F3FB9">
            <w:pPr>
              <w:spacing w:after="58"/>
              <w:rPr>
                <w:rFonts w:ascii="Arial" w:hAnsi="Arial"/>
                <w:i/>
                <w:color w:val="000000"/>
                <w:sz w:val="24"/>
                <w:szCs w:val="24"/>
              </w:rPr>
            </w:pPr>
            <w:r>
              <w:rPr>
                <w:rFonts w:ascii="Arial" w:hAnsi="Arial"/>
                <w:i/>
                <w:color w:val="000000"/>
                <w:sz w:val="24"/>
                <w:szCs w:val="24"/>
              </w:rPr>
              <w:t xml:space="preserve">Department: Skilled Nursing Facilities </w:t>
            </w:r>
          </w:p>
        </w:tc>
      </w:tr>
      <w:tr w:rsidR="00504A77">
        <w:tblPrEx>
          <w:tblCellMar>
            <w:left w:w="210" w:type="dxa"/>
            <w:right w:w="210" w:type="dxa"/>
          </w:tblCellMar>
        </w:tblPrEx>
        <w:tc>
          <w:tcPr>
            <w:tcW w:w="9360" w:type="dxa"/>
            <w:gridSpan w:val="2"/>
            <w:tcBorders>
              <w:top w:val="double" w:sz="7" w:space="0" w:color="000000"/>
              <w:left w:val="single" w:sz="24" w:space="0" w:color="000000"/>
              <w:bottom w:val="single" w:sz="24" w:space="0" w:color="000000"/>
              <w:right w:val="single" w:sz="24" w:space="0" w:color="000000"/>
            </w:tcBorders>
          </w:tcPr>
          <w:p w:rsidR="00504A77" w:rsidRDefault="00504A77">
            <w:pPr>
              <w:spacing w:line="201" w:lineRule="exact"/>
              <w:rPr>
                <w:rFonts w:ascii="Arial" w:hAnsi="Arial"/>
                <w:i/>
                <w:color w:val="000000"/>
                <w:sz w:val="24"/>
                <w:szCs w:val="24"/>
              </w:rPr>
            </w:pPr>
          </w:p>
          <w:p w:rsidR="00504A77" w:rsidRDefault="00504A77" w:rsidP="00F5441A">
            <w:pPr>
              <w:spacing w:after="90"/>
              <w:rPr>
                <w:rFonts w:ascii="Arial" w:hAnsi="Arial"/>
                <w:i/>
                <w:color w:val="000000"/>
                <w:sz w:val="24"/>
                <w:szCs w:val="24"/>
              </w:rPr>
            </w:pPr>
            <w:r>
              <w:rPr>
                <w:rFonts w:ascii="Arial" w:hAnsi="Arial"/>
                <w:i/>
                <w:color w:val="000000"/>
                <w:sz w:val="24"/>
                <w:szCs w:val="24"/>
              </w:rPr>
              <w:t xml:space="preserve">Subject:  </w:t>
            </w:r>
            <w:r w:rsidR="00F5441A">
              <w:rPr>
                <w:rFonts w:ascii="Arial" w:hAnsi="Arial"/>
                <w:i/>
                <w:color w:val="000000"/>
                <w:sz w:val="24"/>
                <w:szCs w:val="24"/>
              </w:rPr>
              <w:t>1135 Waiver</w:t>
            </w:r>
          </w:p>
        </w:tc>
      </w:tr>
    </w:tbl>
    <w:p w:rsidR="00504A77" w:rsidRDefault="00504A77">
      <w:pPr>
        <w:pStyle w:val="BodyText"/>
        <w:spacing w:after="0"/>
        <w:rPr>
          <w:b/>
          <w:snapToGrid w:val="0"/>
        </w:rPr>
      </w:pPr>
    </w:p>
    <w:p w:rsidR="00504A77" w:rsidRDefault="00504A77">
      <w:pPr>
        <w:pStyle w:val="BodyText"/>
        <w:spacing w:after="0"/>
        <w:rPr>
          <w:b/>
          <w:snapToGrid w:val="0"/>
        </w:rPr>
      </w:pPr>
    </w:p>
    <w:p w:rsidR="00504A77" w:rsidRDefault="00504A77">
      <w:pPr>
        <w:pStyle w:val="BodyText"/>
        <w:rPr>
          <w:rFonts w:ascii="Arial" w:hAnsi="Arial" w:cs="Arial"/>
          <w:b/>
          <w:snapToGrid w:val="0"/>
          <w:szCs w:val="24"/>
        </w:rPr>
      </w:pPr>
      <w:r>
        <w:rPr>
          <w:rFonts w:ascii="Arial" w:hAnsi="Arial" w:cs="Arial"/>
          <w:b/>
          <w:snapToGrid w:val="0"/>
          <w:szCs w:val="24"/>
        </w:rPr>
        <w:t>POLICY</w:t>
      </w:r>
    </w:p>
    <w:p w:rsidR="00DF67C1" w:rsidRDefault="000E7306" w:rsidP="008B4180">
      <w:pPr>
        <w:pStyle w:val="BodyText"/>
        <w:spacing w:after="0"/>
        <w:jc w:val="both"/>
        <w:rPr>
          <w:rFonts w:ascii="Arial" w:hAnsi="Arial" w:cs="Arial"/>
          <w:color w:val="000000"/>
          <w:szCs w:val="24"/>
        </w:rPr>
      </w:pPr>
      <w:r>
        <w:rPr>
          <w:rFonts w:ascii="Arial" w:hAnsi="Arial" w:cs="Arial"/>
          <w:snapToGrid w:val="0"/>
          <w:szCs w:val="24"/>
        </w:rPr>
        <w:t>[</w:t>
      </w:r>
      <w:r w:rsidRPr="000E7306">
        <w:rPr>
          <w:rFonts w:ascii="Arial" w:hAnsi="Arial" w:cs="Arial"/>
          <w:b/>
          <w:snapToGrid w:val="0"/>
          <w:szCs w:val="24"/>
        </w:rPr>
        <w:t>INSERT PROVIDER NAME</w:t>
      </w:r>
      <w:r>
        <w:rPr>
          <w:rFonts w:ascii="Arial" w:hAnsi="Arial" w:cs="Arial"/>
          <w:snapToGrid w:val="0"/>
          <w:szCs w:val="24"/>
        </w:rPr>
        <w:t>]</w:t>
      </w:r>
      <w:r w:rsidR="00504A77">
        <w:rPr>
          <w:rFonts w:ascii="Arial" w:hAnsi="Arial" w:cs="Arial"/>
          <w:snapToGrid w:val="0"/>
          <w:szCs w:val="24"/>
        </w:rPr>
        <w:t xml:space="preserve"> is committed to providing all </w:t>
      </w:r>
      <w:r w:rsidR="00B43FCB">
        <w:rPr>
          <w:rFonts w:ascii="Arial" w:hAnsi="Arial" w:cs="Arial"/>
          <w:snapToGrid w:val="0"/>
          <w:szCs w:val="24"/>
        </w:rPr>
        <w:t xml:space="preserve">of </w:t>
      </w:r>
      <w:r w:rsidR="00504A77">
        <w:rPr>
          <w:rFonts w:ascii="Arial" w:hAnsi="Arial" w:cs="Arial"/>
          <w:snapToGrid w:val="0"/>
          <w:szCs w:val="24"/>
        </w:rPr>
        <w:t xml:space="preserve">our stakeholders with the safest environment possible.  </w:t>
      </w:r>
      <w:r w:rsidR="003F3FB9">
        <w:rPr>
          <w:rFonts w:ascii="Arial" w:hAnsi="Arial" w:cs="Arial"/>
          <w:snapToGrid w:val="0"/>
          <w:szCs w:val="24"/>
        </w:rPr>
        <w:t xml:space="preserve">To help meet this commitment, all </w:t>
      </w:r>
      <w:r w:rsidR="008B4180">
        <w:rPr>
          <w:rFonts w:ascii="Arial" w:hAnsi="Arial" w:cs="Arial"/>
          <w:snapToGrid w:val="0"/>
          <w:szCs w:val="24"/>
        </w:rPr>
        <w:t xml:space="preserve">skilled nursing facilities (SNF) </w:t>
      </w:r>
      <w:r w:rsidR="005272BE">
        <w:rPr>
          <w:rFonts w:ascii="Arial" w:hAnsi="Arial" w:cs="Arial"/>
          <w:snapToGrid w:val="0"/>
          <w:szCs w:val="24"/>
        </w:rPr>
        <w:t xml:space="preserve">have </w:t>
      </w:r>
      <w:r w:rsidR="008B4180">
        <w:rPr>
          <w:rFonts w:ascii="Arial" w:hAnsi="Arial" w:cs="Arial"/>
          <w:snapToGrid w:val="0"/>
          <w:szCs w:val="24"/>
        </w:rPr>
        <w:t>established</w:t>
      </w:r>
      <w:r w:rsidR="00C94CB4">
        <w:rPr>
          <w:rFonts w:ascii="Arial" w:hAnsi="Arial" w:cs="Arial"/>
          <w:snapToGrid w:val="0"/>
          <w:szCs w:val="24"/>
        </w:rPr>
        <w:t xml:space="preserve"> a policy and </w:t>
      </w:r>
      <w:r w:rsidR="00C94CB4" w:rsidRPr="008B4180">
        <w:rPr>
          <w:rFonts w:ascii="Arial" w:hAnsi="Arial" w:cs="Arial"/>
          <w:snapToGrid w:val="0"/>
          <w:szCs w:val="24"/>
        </w:rPr>
        <w:t xml:space="preserve">procedure </w:t>
      </w:r>
      <w:r w:rsidR="008B4180" w:rsidRPr="008B4180">
        <w:rPr>
          <w:rFonts w:ascii="Arial" w:hAnsi="Arial" w:cs="Arial"/>
          <w:color w:val="000000"/>
          <w:szCs w:val="24"/>
        </w:rPr>
        <w:t>to ensure that sufficient health care items and services are available to meet the needs of individuals enrolled in Soc</w:t>
      </w:r>
      <w:r w:rsidR="00DF67C1">
        <w:rPr>
          <w:rFonts w:ascii="Arial" w:hAnsi="Arial" w:cs="Arial"/>
          <w:color w:val="000000"/>
          <w:szCs w:val="24"/>
        </w:rPr>
        <w:t>ial Security Act programs in an emergency area during specific</w:t>
      </w:r>
      <w:r w:rsidR="008B4180" w:rsidRPr="008B4180">
        <w:rPr>
          <w:rFonts w:ascii="Arial" w:hAnsi="Arial" w:cs="Arial"/>
          <w:color w:val="000000"/>
          <w:szCs w:val="24"/>
        </w:rPr>
        <w:t xml:space="preserve"> time periods and that providers who provide such services in good faith can be reimbursed and exempted from sanctions (absent any determination of fraud or abuse).</w:t>
      </w:r>
    </w:p>
    <w:p w:rsidR="00DF67C1" w:rsidRDefault="00DF67C1" w:rsidP="008B4180">
      <w:pPr>
        <w:pStyle w:val="BodyText"/>
        <w:spacing w:after="0"/>
        <w:jc w:val="both"/>
        <w:rPr>
          <w:rFonts w:ascii="Arial" w:hAnsi="Arial" w:cs="Arial"/>
          <w:color w:val="000000"/>
          <w:szCs w:val="24"/>
        </w:rPr>
      </w:pPr>
    </w:p>
    <w:p w:rsidR="00DF67C1" w:rsidRDefault="00DF67C1" w:rsidP="008B4180">
      <w:pPr>
        <w:pStyle w:val="BodyText"/>
        <w:spacing w:after="0"/>
        <w:jc w:val="both"/>
        <w:rPr>
          <w:rFonts w:ascii="Arial" w:hAnsi="Arial" w:cs="Arial"/>
          <w:color w:val="000000"/>
          <w:szCs w:val="24"/>
        </w:rPr>
      </w:pPr>
      <w:r w:rsidRPr="00DF67C1">
        <w:rPr>
          <w:rFonts w:ascii="Arial" w:hAnsi="Arial" w:cs="Arial"/>
          <w:bCs/>
          <w:color w:val="000000"/>
          <w:szCs w:val="24"/>
        </w:rPr>
        <w:t>During an emergency it may become necessary to waive certain CMS regulations. Once a local, state, and federal emergency has been officially declared, CMS allows facilities to request a waiver of individual CMS Requirements of Participation. These waivers are allowed under Part</w:t>
      </w:r>
      <w:r w:rsidRPr="00DF67C1">
        <w:rPr>
          <w:rFonts w:ascii="Arial" w:hAnsi="Arial" w:cs="Arial"/>
          <w:bCs/>
          <w:color w:val="000000"/>
          <w:szCs w:val="24"/>
          <w:shd w:val="clear" w:color="auto" w:fill="FFFFFF"/>
        </w:rPr>
        <w:t xml:space="preserve"> 1135 of the Social Security Act</w:t>
      </w:r>
      <w:r w:rsidR="005272BE">
        <w:rPr>
          <w:rFonts w:ascii="Arial" w:hAnsi="Arial" w:cs="Arial"/>
          <w:bCs/>
          <w:color w:val="000000"/>
          <w:szCs w:val="24"/>
          <w:shd w:val="clear" w:color="auto" w:fill="FFFFFF"/>
        </w:rPr>
        <w:t xml:space="preserve"> and are referred to as an 1135 Waiver.</w:t>
      </w:r>
      <w:r>
        <w:rPr>
          <w:rFonts w:ascii="Arial" w:hAnsi="Arial" w:cs="Arial"/>
          <w:color w:val="000000"/>
          <w:szCs w:val="24"/>
        </w:rPr>
        <w:t xml:space="preserve"> </w:t>
      </w:r>
      <w:r w:rsidR="008B4180">
        <w:rPr>
          <w:rFonts w:ascii="Arial" w:hAnsi="Arial" w:cs="Arial"/>
          <w:color w:val="000000"/>
          <w:szCs w:val="24"/>
        </w:rPr>
        <w:t xml:space="preserve">  </w:t>
      </w:r>
    </w:p>
    <w:p w:rsidR="00504A77" w:rsidRDefault="00504A77">
      <w:pPr>
        <w:pStyle w:val="BodyText"/>
        <w:spacing w:after="0"/>
        <w:jc w:val="both"/>
        <w:rPr>
          <w:rFonts w:ascii="Arial" w:hAnsi="Arial" w:cs="Arial"/>
          <w:snapToGrid w:val="0"/>
          <w:szCs w:val="24"/>
        </w:rPr>
      </w:pPr>
    </w:p>
    <w:p w:rsidR="00DF67C1" w:rsidRPr="00DF67C1" w:rsidRDefault="00504A77" w:rsidP="00DF67C1">
      <w:pPr>
        <w:pStyle w:val="BodyText"/>
        <w:jc w:val="both"/>
        <w:rPr>
          <w:rFonts w:ascii="Arial" w:hAnsi="Arial" w:cs="Arial"/>
          <w:b/>
          <w:snapToGrid w:val="0"/>
          <w:szCs w:val="24"/>
        </w:rPr>
      </w:pPr>
      <w:r>
        <w:rPr>
          <w:rFonts w:ascii="Arial" w:hAnsi="Arial" w:cs="Arial"/>
          <w:b/>
          <w:snapToGrid w:val="0"/>
          <w:szCs w:val="24"/>
        </w:rPr>
        <w:t>PROCEDURE</w:t>
      </w:r>
    </w:p>
    <w:p w:rsidR="00DF67C1" w:rsidRPr="00DF67C1" w:rsidRDefault="00DF67C1" w:rsidP="00E83913">
      <w:pPr>
        <w:pStyle w:val="BodyText"/>
        <w:jc w:val="both"/>
        <w:rPr>
          <w:rFonts w:ascii="Arial" w:hAnsi="Arial" w:cs="Arial"/>
        </w:rPr>
      </w:pPr>
      <w:r w:rsidRPr="007E41B7">
        <w:rPr>
          <w:rFonts w:ascii="Arial" w:hAnsi="Arial" w:cs="Arial"/>
          <w:u w:val="single"/>
        </w:rPr>
        <w:t>1135 Waiver Process</w:t>
      </w:r>
      <w:r w:rsidRPr="00DF67C1">
        <w:rPr>
          <w:rFonts w:ascii="Arial" w:hAnsi="Arial" w:cs="Arial"/>
        </w:rPr>
        <w:t xml:space="preserve">: </w:t>
      </w:r>
    </w:p>
    <w:p w:rsidR="00E83913" w:rsidRDefault="00DF67C1" w:rsidP="00E83913">
      <w:pPr>
        <w:pStyle w:val="BodyText"/>
        <w:jc w:val="both"/>
        <w:rPr>
          <w:rFonts w:ascii="Arial" w:hAnsi="Arial" w:cs="Arial"/>
        </w:rPr>
      </w:pPr>
      <w:r w:rsidRPr="00DF67C1">
        <w:rPr>
          <w:rFonts w:ascii="Arial" w:hAnsi="Arial" w:cs="Arial"/>
        </w:rPr>
        <w:t>CMS is requirin</w:t>
      </w:r>
      <w:r w:rsidR="007E41B7">
        <w:rPr>
          <w:rFonts w:ascii="Arial" w:hAnsi="Arial" w:cs="Arial"/>
        </w:rPr>
        <w:t>g that all 1135 Waiver requests</w:t>
      </w:r>
      <w:r w:rsidRPr="00DF67C1">
        <w:rPr>
          <w:rFonts w:ascii="Arial" w:hAnsi="Arial" w:cs="Arial"/>
        </w:rPr>
        <w:t xml:space="preserve"> be electronically submitted directly to CMS, and follow the process identified below: </w:t>
      </w:r>
    </w:p>
    <w:p w:rsidR="00E83913" w:rsidRDefault="00E83913" w:rsidP="00E83913">
      <w:pPr>
        <w:pStyle w:val="BodyText"/>
        <w:jc w:val="both"/>
        <w:rPr>
          <w:rFonts w:ascii="Arial" w:hAnsi="Arial" w:cs="Arial"/>
        </w:rPr>
      </w:pPr>
    </w:p>
    <w:p w:rsidR="00DF67C1" w:rsidRDefault="00DF67C1" w:rsidP="00E83913">
      <w:pPr>
        <w:pStyle w:val="BodyText"/>
        <w:jc w:val="both"/>
        <w:rPr>
          <w:rFonts w:ascii="Arial" w:hAnsi="Arial" w:cs="Arial"/>
        </w:rPr>
      </w:pPr>
      <w:r w:rsidRPr="00DF67C1">
        <w:rPr>
          <w:rFonts w:ascii="Arial" w:hAnsi="Arial" w:cs="Arial"/>
        </w:rPr>
        <w:t xml:space="preserve">1. The facility requesting the 1135 Waiver will provide to the Centers for Medicare and Medicaid Services (CMS) Regional Office (RO), at a minimum the following information, using this email address: </w:t>
      </w:r>
      <w:hyperlink r:id="rId7" w:history="1">
        <w:r w:rsidR="00E83913" w:rsidRPr="000C0FD8">
          <w:rPr>
            <w:rStyle w:val="Hyperlink"/>
            <w:rFonts w:ascii="Arial" w:hAnsi="Arial" w:cs="Arial"/>
          </w:rPr>
          <w:t>rosfoso@cms.hhs.gov</w:t>
        </w:r>
      </w:hyperlink>
      <w:r w:rsidR="00E83913">
        <w:rPr>
          <w:rFonts w:ascii="Arial" w:hAnsi="Arial" w:cs="Arial"/>
        </w:rPr>
        <w:t xml:space="preserve"> </w:t>
      </w:r>
      <w:r w:rsidRPr="00DF67C1">
        <w:rPr>
          <w:rFonts w:ascii="Arial" w:hAnsi="Arial" w:cs="Arial"/>
        </w:rPr>
        <w:t xml:space="preserve">and copy the respective local CDPH District Office. </w:t>
      </w:r>
    </w:p>
    <w:p w:rsidR="00DF67C1" w:rsidRDefault="00DF67C1" w:rsidP="00E83913">
      <w:pPr>
        <w:pStyle w:val="BodyText"/>
        <w:numPr>
          <w:ilvl w:val="0"/>
          <w:numId w:val="22"/>
        </w:numPr>
        <w:jc w:val="both"/>
        <w:rPr>
          <w:rFonts w:ascii="Arial" w:hAnsi="Arial" w:cs="Arial"/>
        </w:rPr>
      </w:pPr>
      <w:r w:rsidRPr="00DF67C1">
        <w:rPr>
          <w:rFonts w:ascii="Arial" w:hAnsi="Arial" w:cs="Arial"/>
        </w:rPr>
        <w:t xml:space="preserve">A letter delineating all specific, relevant federal laws or regulations for which a waiver is being sought. </w:t>
      </w:r>
    </w:p>
    <w:p w:rsidR="00DF67C1" w:rsidRDefault="00DF67C1" w:rsidP="00E83913">
      <w:pPr>
        <w:pStyle w:val="BodyText"/>
        <w:numPr>
          <w:ilvl w:val="0"/>
          <w:numId w:val="22"/>
        </w:numPr>
        <w:jc w:val="both"/>
        <w:rPr>
          <w:rFonts w:ascii="Arial" w:hAnsi="Arial" w:cs="Arial"/>
        </w:rPr>
      </w:pPr>
      <w:r w:rsidRPr="00DF67C1">
        <w:rPr>
          <w:rFonts w:ascii="Arial" w:hAnsi="Arial" w:cs="Arial"/>
        </w:rPr>
        <w:t xml:space="preserve">Clear reasons and justifications for the request. </w:t>
      </w:r>
    </w:p>
    <w:p w:rsidR="00DF67C1" w:rsidRDefault="00DF67C1" w:rsidP="00E83913">
      <w:pPr>
        <w:pStyle w:val="BodyText"/>
        <w:numPr>
          <w:ilvl w:val="0"/>
          <w:numId w:val="22"/>
        </w:numPr>
        <w:jc w:val="both"/>
        <w:rPr>
          <w:rFonts w:ascii="Arial" w:hAnsi="Arial" w:cs="Arial"/>
        </w:rPr>
      </w:pPr>
      <w:r w:rsidRPr="00DF67C1">
        <w:rPr>
          <w:rFonts w:ascii="Arial" w:hAnsi="Arial" w:cs="Arial"/>
        </w:rPr>
        <w:t xml:space="preserve">The State must have activated an emergency preparedness plan or pandemic preparedness plan in the area where the </w:t>
      </w:r>
      <w:r w:rsidR="000E6A77">
        <w:rPr>
          <w:rFonts w:ascii="Arial" w:hAnsi="Arial" w:cs="Arial"/>
        </w:rPr>
        <w:t>SNF</w:t>
      </w:r>
      <w:r w:rsidRPr="00DF67C1">
        <w:rPr>
          <w:rFonts w:ascii="Arial" w:hAnsi="Arial" w:cs="Arial"/>
        </w:rPr>
        <w:t xml:space="preserve"> is located, and </w:t>
      </w:r>
    </w:p>
    <w:p w:rsidR="00DF67C1" w:rsidRDefault="00DF67C1" w:rsidP="00E83913">
      <w:pPr>
        <w:pStyle w:val="BodyText"/>
        <w:numPr>
          <w:ilvl w:val="0"/>
          <w:numId w:val="22"/>
        </w:numPr>
        <w:jc w:val="both"/>
        <w:rPr>
          <w:rFonts w:ascii="Arial" w:hAnsi="Arial" w:cs="Arial"/>
        </w:rPr>
      </w:pPr>
      <w:r w:rsidRPr="00DF67C1">
        <w:rPr>
          <w:rFonts w:ascii="Arial" w:hAnsi="Arial" w:cs="Arial"/>
        </w:rPr>
        <w:t xml:space="preserve">The facility’s Emergency Operations Plan (EOP) must have been activated for the specific </w:t>
      </w:r>
      <w:r w:rsidR="007E41B7">
        <w:rPr>
          <w:rFonts w:ascii="Arial" w:hAnsi="Arial" w:cs="Arial"/>
        </w:rPr>
        <w:t>waiver</w:t>
      </w:r>
      <w:r w:rsidRPr="00DF67C1">
        <w:rPr>
          <w:rFonts w:ascii="Arial" w:hAnsi="Arial" w:cs="Arial"/>
        </w:rPr>
        <w:t xml:space="preserve"> being requested. </w:t>
      </w:r>
    </w:p>
    <w:p w:rsidR="00DF67C1" w:rsidRDefault="00DF67C1" w:rsidP="00E83913">
      <w:pPr>
        <w:pStyle w:val="BodyText"/>
        <w:jc w:val="both"/>
        <w:rPr>
          <w:rFonts w:ascii="Arial" w:hAnsi="Arial" w:cs="Arial"/>
        </w:rPr>
      </w:pPr>
    </w:p>
    <w:p w:rsidR="00DF67C1" w:rsidRDefault="00DF67C1" w:rsidP="00E83913">
      <w:pPr>
        <w:pStyle w:val="BodyText"/>
        <w:jc w:val="both"/>
        <w:rPr>
          <w:rFonts w:ascii="Arial" w:hAnsi="Arial" w:cs="Arial"/>
        </w:rPr>
      </w:pPr>
      <w:r w:rsidRPr="00DF67C1">
        <w:rPr>
          <w:rFonts w:ascii="Arial" w:hAnsi="Arial" w:cs="Arial"/>
        </w:rPr>
        <w:lastRenderedPageBreak/>
        <w:t xml:space="preserve">CMS has advised the California Department of Public Health (CDPH), Licensing and Certification Program (L&amp;C) that L&amp;C will be included in the review process and will be tasked with providing CMS with a recommendation for each 1135 Waiver request. In order to expedite the 1135 Waiver request process, L&amp;C asks that all facilities electronically copy their L&amp;C District Office with all the above information at the time it is sent to CMS, and asks facilities to include all other background documentation necessary to support the 1135 Waiver request. Because L&amp;C will be involved in the review process it is possible that a representative from the L&amp;C District Office or CMS may contact the facility to verify and/or clarify information in the request. </w:t>
      </w:r>
    </w:p>
    <w:p w:rsidR="00DF67C1" w:rsidRDefault="00DF67C1" w:rsidP="00E83913">
      <w:pPr>
        <w:pStyle w:val="BodyText"/>
        <w:jc w:val="both"/>
        <w:rPr>
          <w:rFonts w:ascii="Arial" w:hAnsi="Arial" w:cs="Arial"/>
        </w:rPr>
      </w:pPr>
    </w:p>
    <w:p w:rsidR="00DF67C1" w:rsidRDefault="00DF67C1" w:rsidP="00E83913">
      <w:pPr>
        <w:pStyle w:val="BodyText"/>
        <w:jc w:val="both"/>
        <w:rPr>
          <w:rFonts w:ascii="Arial" w:hAnsi="Arial" w:cs="Arial"/>
        </w:rPr>
      </w:pPr>
      <w:r w:rsidRPr="00DF67C1">
        <w:rPr>
          <w:rFonts w:ascii="Arial" w:hAnsi="Arial" w:cs="Arial"/>
        </w:rPr>
        <w:t xml:space="preserve">2. The facility’s 1135 Waiver request will undergo an expedited review process by the CMS National Validation Team, a committee established for the review of these requests, which will evaluate each request and make a determination as to whether the request will be approved or denied. CMS will track each request to ensure decisions are promptly returned to the requesting facility. </w:t>
      </w:r>
    </w:p>
    <w:p w:rsidR="00DF67C1" w:rsidRDefault="00DF67C1" w:rsidP="00E83913">
      <w:pPr>
        <w:pStyle w:val="BodyText"/>
        <w:jc w:val="both"/>
        <w:rPr>
          <w:rFonts w:ascii="Arial" w:hAnsi="Arial" w:cs="Arial"/>
        </w:rPr>
      </w:pPr>
    </w:p>
    <w:p w:rsidR="00F44AE0" w:rsidRPr="00DF67C1" w:rsidRDefault="00DF67C1" w:rsidP="00E83913">
      <w:pPr>
        <w:pStyle w:val="BodyText"/>
        <w:jc w:val="both"/>
        <w:rPr>
          <w:rFonts w:ascii="Arial" w:hAnsi="Arial" w:cs="Arial"/>
        </w:rPr>
      </w:pPr>
      <w:r w:rsidRPr="00DF67C1">
        <w:rPr>
          <w:rFonts w:ascii="Arial" w:hAnsi="Arial" w:cs="Arial"/>
        </w:rPr>
        <w:t xml:space="preserve">3. CMS will contact the facility directly to inform the facility of CMS’s decision to approve or deny all or parts of the 1135 Waiver request, and will also notify L&amp;C of their decision. </w:t>
      </w:r>
    </w:p>
    <w:p w:rsidR="007E41B7" w:rsidRDefault="007E41B7" w:rsidP="007F0A19">
      <w:pPr>
        <w:pStyle w:val="BodyText"/>
        <w:jc w:val="center"/>
        <w:rPr>
          <w:rFonts w:ascii="Arial" w:hAnsi="Arial" w:cs="Arial"/>
        </w:rPr>
      </w:pPr>
    </w:p>
    <w:p w:rsidR="007E41B7" w:rsidRDefault="007E41B7" w:rsidP="007E41B7">
      <w:pPr>
        <w:pStyle w:val="BodyText"/>
        <w:spacing w:after="0"/>
        <w:jc w:val="both"/>
        <w:rPr>
          <w:rFonts w:ascii="Arial" w:hAnsi="Arial" w:cs="Arial"/>
          <w:color w:val="000000"/>
          <w:szCs w:val="24"/>
        </w:rPr>
      </w:pPr>
      <w:r w:rsidRPr="007E41B7">
        <w:rPr>
          <w:rFonts w:ascii="Arial" w:hAnsi="Arial" w:cs="Arial"/>
          <w:color w:val="000000"/>
          <w:szCs w:val="24"/>
          <w:u w:val="single"/>
        </w:rPr>
        <w:t>RESOURCES</w:t>
      </w:r>
      <w:r>
        <w:rPr>
          <w:rFonts w:ascii="Arial" w:hAnsi="Arial" w:cs="Arial"/>
          <w:color w:val="000000"/>
          <w:szCs w:val="24"/>
        </w:rPr>
        <w:t>:</w:t>
      </w:r>
    </w:p>
    <w:p w:rsidR="007E41B7" w:rsidRDefault="007E41B7" w:rsidP="007E41B7">
      <w:pPr>
        <w:pStyle w:val="BodyText"/>
        <w:spacing w:after="0"/>
        <w:jc w:val="both"/>
        <w:rPr>
          <w:rFonts w:ascii="Arial" w:hAnsi="Arial" w:cs="Arial"/>
          <w:color w:val="000000"/>
          <w:szCs w:val="24"/>
        </w:rPr>
      </w:pPr>
    </w:p>
    <w:p w:rsidR="007E41B7" w:rsidRPr="008B463B" w:rsidRDefault="00735679" w:rsidP="007E41B7">
      <w:pPr>
        <w:pStyle w:val="BodyText"/>
        <w:spacing w:after="0"/>
        <w:jc w:val="both"/>
        <w:rPr>
          <w:rFonts w:ascii="Arial" w:hAnsi="Arial" w:cs="Arial"/>
          <w:snapToGrid w:val="0"/>
          <w:szCs w:val="24"/>
        </w:rPr>
      </w:pPr>
      <w:r>
        <w:rPr>
          <w:rFonts w:ascii="Arial" w:hAnsi="Arial" w:cs="Arial"/>
          <w:color w:val="000000"/>
          <w:szCs w:val="24"/>
        </w:rPr>
        <w:t>Refer to the</w:t>
      </w:r>
      <w:r w:rsidR="007E41B7">
        <w:rPr>
          <w:rFonts w:ascii="Arial" w:hAnsi="Arial" w:cs="Arial"/>
          <w:color w:val="000000"/>
          <w:szCs w:val="24"/>
        </w:rPr>
        <w:t xml:space="preserve">1135 Waiver Resources for useful </w:t>
      </w:r>
      <w:r w:rsidR="000E6A77">
        <w:rPr>
          <w:rFonts w:ascii="Arial" w:hAnsi="Arial" w:cs="Arial"/>
          <w:color w:val="000000"/>
          <w:szCs w:val="24"/>
        </w:rPr>
        <w:t>for additional information on the 1135 Waiver</w:t>
      </w:r>
      <w:r w:rsidR="007E41B7">
        <w:rPr>
          <w:rFonts w:ascii="Arial" w:hAnsi="Arial" w:cs="Arial"/>
          <w:color w:val="000000"/>
          <w:szCs w:val="24"/>
        </w:rPr>
        <w:t xml:space="preserve"> process.</w:t>
      </w:r>
    </w:p>
    <w:p w:rsidR="007E41B7" w:rsidRPr="00E83913" w:rsidRDefault="007E41B7" w:rsidP="007E41B7">
      <w:pPr>
        <w:pStyle w:val="BodyText"/>
        <w:jc w:val="both"/>
        <w:rPr>
          <w:rFonts w:ascii="Arial" w:hAnsi="Arial" w:cs="Arial"/>
        </w:rPr>
      </w:pPr>
    </w:p>
    <w:sectPr w:rsidR="007E41B7" w:rsidRPr="00E83913" w:rsidSect="000F4DF3">
      <w:headerReference w:type="default" r:id="rId8"/>
      <w:type w:val="continuous"/>
      <w:pgSz w:w="12240" w:h="15840"/>
      <w:pgMar w:top="1080" w:right="1440" w:bottom="1008" w:left="1440" w:header="720" w:footer="720" w:gutter="0"/>
      <w:cols w:space="720"/>
      <w:noEndnote/>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7EBB" w:rsidRDefault="00247EBB" w:rsidP="000F4DF3">
      <w:r>
        <w:separator/>
      </w:r>
    </w:p>
  </w:endnote>
  <w:endnote w:type="continuationSeparator" w:id="0">
    <w:p w:rsidR="00247EBB" w:rsidRDefault="00247EBB" w:rsidP="000F4DF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7EBB" w:rsidRDefault="00247EBB" w:rsidP="000F4DF3">
      <w:r>
        <w:separator/>
      </w:r>
    </w:p>
  </w:footnote>
  <w:footnote w:type="continuationSeparator" w:id="0">
    <w:p w:rsidR="00247EBB" w:rsidRDefault="00247EBB" w:rsidP="000F4D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DF3" w:rsidRDefault="007F0A19">
    <w:pPr>
      <w:pStyle w:val="Header"/>
      <w:rPr>
        <w:rFonts w:ascii="Arial" w:hAnsi="Arial"/>
        <w:color w:val="000000"/>
        <w:sz w:val="24"/>
        <w:szCs w:val="24"/>
      </w:rPr>
    </w:pPr>
    <w:r>
      <w:rPr>
        <w:rFonts w:ascii="Arial" w:hAnsi="Arial"/>
        <w:color w:val="000000"/>
        <w:sz w:val="24"/>
        <w:szCs w:val="24"/>
      </w:rPr>
      <w:t>1135 Waiver</w:t>
    </w:r>
    <w:r>
      <w:rPr>
        <w:rFonts w:ascii="Arial" w:hAnsi="Arial"/>
        <w:color w:val="000000"/>
        <w:sz w:val="24"/>
        <w:szCs w:val="24"/>
      </w:rPr>
      <w:tab/>
    </w:r>
    <w:r w:rsidR="000F4DF3">
      <w:rPr>
        <w:rFonts w:ascii="Arial" w:hAnsi="Arial"/>
        <w:color w:val="000000"/>
        <w:sz w:val="24"/>
        <w:szCs w:val="24"/>
      </w:rPr>
      <w:tab/>
    </w:r>
    <w:r w:rsidR="000F4DF3">
      <w:rPr>
        <w:rFonts w:ascii="Arial" w:hAnsi="Arial" w:cs="Arial"/>
      </w:rPr>
      <w:t xml:space="preserve">Page </w:t>
    </w:r>
    <w:r w:rsidR="00424C6C">
      <w:rPr>
        <w:rStyle w:val="PageNumber"/>
        <w:rFonts w:ascii="Arial" w:hAnsi="Arial" w:cs="Arial"/>
      </w:rPr>
      <w:fldChar w:fldCharType="begin"/>
    </w:r>
    <w:r w:rsidR="000F4DF3">
      <w:rPr>
        <w:rStyle w:val="PageNumber"/>
        <w:rFonts w:ascii="Arial" w:hAnsi="Arial" w:cs="Arial"/>
      </w:rPr>
      <w:instrText xml:space="preserve"> PAGE </w:instrText>
    </w:r>
    <w:r w:rsidR="00424C6C">
      <w:rPr>
        <w:rStyle w:val="PageNumber"/>
        <w:rFonts w:ascii="Arial" w:hAnsi="Arial" w:cs="Arial"/>
      </w:rPr>
      <w:fldChar w:fldCharType="separate"/>
    </w:r>
    <w:r w:rsidR="00735679">
      <w:rPr>
        <w:rStyle w:val="PageNumber"/>
        <w:rFonts w:ascii="Arial" w:hAnsi="Arial" w:cs="Arial"/>
        <w:noProof/>
      </w:rPr>
      <w:t>2</w:t>
    </w:r>
    <w:r w:rsidR="00424C6C">
      <w:rPr>
        <w:rStyle w:val="PageNumber"/>
        <w:rFonts w:ascii="Arial" w:hAnsi="Arial" w:cs="Arial"/>
      </w:rPr>
      <w:fldChar w:fldCharType="end"/>
    </w:r>
  </w:p>
  <w:p w:rsidR="000F4DF3" w:rsidRPr="000F4DF3" w:rsidRDefault="000F4DF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53A85"/>
    <w:multiLevelType w:val="hybridMultilevel"/>
    <w:tmpl w:val="96A6F3FA"/>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nsid w:val="0C7F0F52"/>
    <w:multiLevelType w:val="hybridMultilevel"/>
    <w:tmpl w:val="3530C2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D8150C0"/>
    <w:multiLevelType w:val="hybridMultilevel"/>
    <w:tmpl w:val="5AC815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0B029D"/>
    <w:multiLevelType w:val="hybridMultilevel"/>
    <w:tmpl w:val="F3DE4A4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41E6BAE"/>
    <w:multiLevelType w:val="hybridMultilevel"/>
    <w:tmpl w:val="9B1278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BC054E1"/>
    <w:multiLevelType w:val="hybridMultilevel"/>
    <w:tmpl w:val="F1BA1A22"/>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nsid w:val="255A2E78"/>
    <w:multiLevelType w:val="singleLevel"/>
    <w:tmpl w:val="C956A24E"/>
    <w:lvl w:ilvl="0">
      <w:start w:val="1"/>
      <w:numFmt w:val="decimal"/>
      <w:lvlText w:val="%1."/>
      <w:lvlJc w:val="left"/>
      <w:pPr>
        <w:tabs>
          <w:tab w:val="num" w:pos="1440"/>
        </w:tabs>
        <w:ind w:left="1440" w:hanging="720"/>
      </w:pPr>
      <w:rPr>
        <w:rFonts w:hint="default"/>
      </w:rPr>
    </w:lvl>
  </w:abstractNum>
  <w:abstractNum w:abstractNumId="7">
    <w:nsid w:val="28AF011D"/>
    <w:multiLevelType w:val="hybridMultilevel"/>
    <w:tmpl w:val="98D6C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F7979B6"/>
    <w:multiLevelType w:val="hybridMultilevel"/>
    <w:tmpl w:val="25CA01F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34747596"/>
    <w:multiLevelType w:val="hybridMultilevel"/>
    <w:tmpl w:val="A9500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9D56FC6"/>
    <w:multiLevelType w:val="hybridMultilevel"/>
    <w:tmpl w:val="5AB06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C891FF7"/>
    <w:multiLevelType w:val="hybridMultilevel"/>
    <w:tmpl w:val="F6A255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2102502"/>
    <w:multiLevelType w:val="hybridMultilevel"/>
    <w:tmpl w:val="7370E9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42DE7659"/>
    <w:multiLevelType w:val="hybridMultilevel"/>
    <w:tmpl w:val="6602F3A0"/>
    <w:lvl w:ilvl="0" w:tplc="0CD810B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1B856E4"/>
    <w:multiLevelType w:val="hybridMultilevel"/>
    <w:tmpl w:val="74488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A1B04D7"/>
    <w:multiLevelType w:val="hybridMultilevel"/>
    <w:tmpl w:val="D2A6B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1832382"/>
    <w:multiLevelType w:val="hybridMultilevel"/>
    <w:tmpl w:val="D63C7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3B272AD"/>
    <w:multiLevelType w:val="hybridMultilevel"/>
    <w:tmpl w:val="34D057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6B131131"/>
    <w:multiLevelType w:val="hybridMultilevel"/>
    <w:tmpl w:val="53A087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73E027F9"/>
    <w:multiLevelType w:val="hybridMultilevel"/>
    <w:tmpl w:val="6AACB91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nsid w:val="777C2A3B"/>
    <w:multiLevelType w:val="singleLevel"/>
    <w:tmpl w:val="BF42DDCE"/>
    <w:lvl w:ilvl="0">
      <w:start w:val="1"/>
      <w:numFmt w:val="decimal"/>
      <w:lvlText w:val="%1."/>
      <w:lvlJc w:val="left"/>
      <w:pPr>
        <w:tabs>
          <w:tab w:val="num" w:pos="810"/>
        </w:tabs>
        <w:ind w:left="810" w:hanging="810"/>
      </w:pPr>
      <w:rPr>
        <w:rFonts w:hint="default"/>
      </w:rPr>
    </w:lvl>
  </w:abstractNum>
  <w:abstractNum w:abstractNumId="21">
    <w:nsid w:val="789E1423"/>
    <w:multiLevelType w:val="hybridMultilevel"/>
    <w:tmpl w:val="5EEC076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20"/>
  </w:num>
  <w:num w:numId="2">
    <w:abstractNumId w:val="6"/>
  </w:num>
  <w:num w:numId="3">
    <w:abstractNumId w:val="16"/>
  </w:num>
  <w:num w:numId="4">
    <w:abstractNumId w:val="11"/>
  </w:num>
  <w:num w:numId="5">
    <w:abstractNumId w:val="1"/>
  </w:num>
  <w:num w:numId="6">
    <w:abstractNumId w:val="3"/>
  </w:num>
  <w:num w:numId="7">
    <w:abstractNumId w:val="14"/>
  </w:num>
  <w:num w:numId="8">
    <w:abstractNumId w:val="2"/>
  </w:num>
  <w:num w:numId="9">
    <w:abstractNumId w:val="12"/>
  </w:num>
  <w:num w:numId="10">
    <w:abstractNumId w:val="8"/>
  </w:num>
  <w:num w:numId="11">
    <w:abstractNumId w:val="7"/>
  </w:num>
  <w:num w:numId="12">
    <w:abstractNumId w:val="10"/>
  </w:num>
  <w:num w:numId="13">
    <w:abstractNumId w:val="18"/>
  </w:num>
  <w:num w:numId="14">
    <w:abstractNumId w:val="19"/>
  </w:num>
  <w:num w:numId="15">
    <w:abstractNumId w:val="17"/>
  </w:num>
  <w:num w:numId="16">
    <w:abstractNumId w:val="5"/>
  </w:num>
  <w:num w:numId="17">
    <w:abstractNumId w:val="21"/>
  </w:num>
  <w:num w:numId="18">
    <w:abstractNumId w:val="4"/>
  </w:num>
  <w:num w:numId="19">
    <w:abstractNumId w:val="0"/>
  </w:num>
  <w:num w:numId="20">
    <w:abstractNumId w:val="9"/>
  </w:num>
  <w:num w:numId="21">
    <w:abstractNumId w:val="13"/>
  </w:num>
  <w:num w:numId="22">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8194"/>
  </w:hdrShapeDefaults>
  <w:footnotePr>
    <w:footnote w:id="-1"/>
    <w:footnote w:id="0"/>
  </w:footnotePr>
  <w:endnotePr>
    <w:endnote w:id="-1"/>
    <w:endnote w:id="0"/>
  </w:endnotePr>
  <w:compat>
    <w:doNotUseHTMLParagraphAutoSpacing/>
  </w:compat>
  <w:rsids>
    <w:rsidRoot w:val="00504A77"/>
    <w:rsid w:val="000548A9"/>
    <w:rsid w:val="00057FF0"/>
    <w:rsid w:val="000C6F70"/>
    <w:rsid w:val="000E6A77"/>
    <w:rsid w:val="000E7306"/>
    <w:rsid w:val="000F0212"/>
    <w:rsid w:val="000F4DF3"/>
    <w:rsid w:val="00114489"/>
    <w:rsid w:val="00163D58"/>
    <w:rsid w:val="0017690E"/>
    <w:rsid w:val="00236781"/>
    <w:rsid w:val="00247EBB"/>
    <w:rsid w:val="0026726D"/>
    <w:rsid w:val="002760A1"/>
    <w:rsid w:val="00323989"/>
    <w:rsid w:val="003D7E77"/>
    <w:rsid w:val="003F3FB9"/>
    <w:rsid w:val="00424C6C"/>
    <w:rsid w:val="00451EC6"/>
    <w:rsid w:val="00476D7E"/>
    <w:rsid w:val="00491AB2"/>
    <w:rsid w:val="0049227E"/>
    <w:rsid w:val="004F6C14"/>
    <w:rsid w:val="00504A77"/>
    <w:rsid w:val="0051665D"/>
    <w:rsid w:val="005272BE"/>
    <w:rsid w:val="005B4D29"/>
    <w:rsid w:val="005D4BD7"/>
    <w:rsid w:val="007103BD"/>
    <w:rsid w:val="00735679"/>
    <w:rsid w:val="00781E9E"/>
    <w:rsid w:val="007E41B7"/>
    <w:rsid w:val="007F0A19"/>
    <w:rsid w:val="0080383D"/>
    <w:rsid w:val="0081540B"/>
    <w:rsid w:val="00872C5F"/>
    <w:rsid w:val="00887F13"/>
    <w:rsid w:val="008A5B55"/>
    <w:rsid w:val="008B4180"/>
    <w:rsid w:val="008B463B"/>
    <w:rsid w:val="008D3770"/>
    <w:rsid w:val="009D7A11"/>
    <w:rsid w:val="009F6D9B"/>
    <w:rsid w:val="00AC45F1"/>
    <w:rsid w:val="00AC6FAD"/>
    <w:rsid w:val="00AF69C6"/>
    <w:rsid w:val="00B32BB6"/>
    <w:rsid w:val="00B3672F"/>
    <w:rsid w:val="00B377A2"/>
    <w:rsid w:val="00B43FCB"/>
    <w:rsid w:val="00B57E8F"/>
    <w:rsid w:val="00BF0A6B"/>
    <w:rsid w:val="00C94CB4"/>
    <w:rsid w:val="00CF5A55"/>
    <w:rsid w:val="00D534F3"/>
    <w:rsid w:val="00D97D37"/>
    <w:rsid w:val="00DF67C1"/>
    <w:rsid w:val="00E02443"/>
    <w:rsid w:val="00E83913"/>
    <w:rsid w:val="00ED33E2"/>
    <w:rsid w:val="00F44AE0"/>
    <w:rsid w:val="00F5441A"/>
    <w:rsid w:val="00F60D27"/>
    <w:rsid w:val="00F7155B"/>
    <w:rsid w:val="00FA293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103BD"/>
  </w:style>
  <w:style w:type="paragraph" w:styleId="Heading1">
    <w:name w:val="heading 1"/>
    <w:basedOn w:val="Normal"/>
    <w:next w:val="Normal"/>
    <w:qFormat/>
    <w:rsid w:val="007103BD"/>
    <w:pPr>
      <w:keepNext/>
      <w:outlineLvl w:val="0"/>
    </w:pPr>
    <w:rPr>
      <w:rFonts w:ascii="Arial" w:hAnsi="Arial"/>
      <w:i/>
      <w:color w:val="000000"/>
      <w:sz w:val="24"/>
      <w:szCs w:val="24"/>
    </w:rPr>
  </w:style>
  <w:style w:type="paragraph" w:styleId="Heading2">
    <w:name w:val="heading 2"/>
    <w:basedOn w:val="Normal"/>
    <w:next w:val="Normal"/>
    <w:qFormat/>
    <w:rsid w:val="007103BD"/>
    <w:pPr>
      <w:keepNext/>
      <w:outlineLvl w:val="1"/>
    </w:pPr>
    <w:rPr>
      <w:i/>
      <w:color w:val="800080"/>
      <w:sz w:val="24"/>
    </w:rPr>
  </w:style>
  <w:style w:type="paragraph" w:styleId="Heading3">
    <w:name w:val="heading 3"/>
    <w:basedOn w:val="Normal"/>
    <w:next w:val="Normal"/>
    <w:link w:val="Heading3Char"/>
    <w:semiHidden/>
    <w:unhideWhenUsed/>
    <w:qFormat/>
    <w:rsid w:val="00DF67C1"/>
    <w:pPr>
      <w:keepNext/>
      <w:keepLines/>
      <w:spacing w:before="20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103BD"/>
    <w:pPr>
      <w:spacing w:after="120"/>
    </w:pPr>
    <w:rPr>
      <w:sz w:val="24"/>
    </w:rPr>
  </w:style>
  <w:style w:type="paragraph" w:styleId="Caption">
    <w:name w:val="caption"/>
    <w:basedOn w:val="Normal"/>
    <w:next w:val="Normal"/>
    <w:qFormat/>
    <w:rsid w:val="007103BD"/>
    <w:pPr>
      <w:widowControl w:val="0"/>
      <w:jc w:val="both"/>
    </w:pPr>
    <w:rPr>
      <w:rFonts w:ascii="Times" w:hAnsi="Times"/>
      <w:b/>
      <w:snapToGrid w:val="0"/>
      <w:sz w:val="24"/>
    </w:rPr>
  </w:style>
  <w:style w:type="paragraph" w:styleId="BalloonText">
    <w:name w:val="Balloon Text"/>
    <w:basedOn w:val="Normal"/>
    <w:semiHidden/>
    <w:rsid w:val="007103BD"/>
    <w:rPr>
      <w:rFonts w:ascii="Tahoma" w:hAnsi="Tahoma" w:cs="Tahoma"/>
      <w:sz w:val="16"/>
      <w:szCs w:val="16"/>
    </w:rPr>
  </w:style>
  <w:style w:type="paragraph" w:styleId="ListParagraph">
    <w:name w:val="List Paragraph"/>
    <w:basedOn w:val="Normal"/>
    <w:uiPriority w:val="34"/>
    <w:qFormat/>
    <w:rsid w:val="008B463B"/>
    <w:pPr>
      <w:ind w:left="720"/>
    </w:pPr>
  </w:style>
  <w:style w:type="paragraph" w:styleId="Header">
    <w:name w:val="header"/>
    <w:basedOn w:val="Normal"/>
    <w:link w:val="HeaderChar"/>
    <w:rsid w:val="000F4DF3"/>
    <w:pPr>
      <w:tabs>
        <w:tab w:val="center" w:pos="4680"/>
        <w:tab w:val="right" w:pos="9360"/>
      </w:tabs>
    </w:pPr>
  </w:style>
  <w:style w:type="character" w:customStyle="1" w:styleId="HeaderChar">
    <w:name w:val="Header Char"/>
    <w:basedOn w:val="DefaultParagraphFont"/>
    <w:link w:val="Header"/>
    <w:rsid w:val="000F4DF3"/>
  </w:style>
  <w:style w:type="paragraph" w:styleId="Footer">
    <w:name w:val="footer"/>
    <w:basedOn w:val="Normal"/>
    <w:link w:val="FooterChar"/>
    <w:rsid w:val="000F4DF3"/>
    <w:pPr>
      <w:tabs>
        <w:tab w:val="center" w:pos="4680"/>
        <w:tab w:val="right" w:pos="9360"/>
      </w:tabs>
    </w:pPr>
  </w:style>
  <w:style w:type="character" w:customStyle="1" w:styleId="FooterChar">
    <w:name w:val="Footer Char"/>
    <w:basedOn w:val="DefaultParagraphFont"/>
    <w:link w:val="Footer"/>
    <w:rsid w:val="000F4DF3"/>
  </w:style>
  <w:style w:type="character" w:styleId="PageNumber">
    <w:name w:val="page number"/>
    <w:basedOn w:val="DefaultParagraphFont"/>
    <w:rsid w:val="000F4DF3"/>
  </w:style>
  <w:style w:type="character" w:styleId="Hyperlink">
    <w:name w:val="Hyperlink"/>
    <w:rsid w:val="00ED33E2"/>
    <w:rPr>
      <w:color w:val="0563C1"/>
      <w:u w:val="single"/>
    </w:rPr>
  </w:style>
  <w:style w:type="character" w:customStyle="1" w:styleId="Heading3Char">
    <w:name w:val="Heading 3 Char"/>
    <w:basedOn w:val="DefaultParagraphFont"/>
    <w:link w:val="Heading3"/>
    <w:semiHidden/>
    <w:rsid w:val="00DF67C1"/>
    <w:rPr>
      <w:rFonts w:asciiTheme="majorHAnsi" w:eastAsiaTheme="majorEastAsia" w:hAnsiTheme="majorHAnsi" w:cstheme="majorBidi"/>
      <w:b/>
      <w:bCs/>
      <w:color w:val="5B9BD5" w:themeColor="accent1"/>
    </w:rPr>
  </w:style>
</w:styles>
</file>

<file path=word/webSettings.xml><?xml version="1.0" encoding="utf-8"?>
<w:webSettings xmlns:r="http://schemas.openxmlformats.org/officeDocument/2006/relationships" xmlns:w="http://schemas.openxmlformats.org/wordprocessingml/2006/main">
  <w:divs>
    <w:div w:id="1023365827">
      <w:bodyDiv w:val="1"/>
      <w:marLeft w:val="0"/>
      <w:marRight w:val="0"/>
      <w:marTop w:val="0"/>
      <w:marBottom w:val="0"/>
      <w:divBdr>
        <w:top w:val="none" w:sz="0" w:space="0" w:color="auto"/>
        <w:left w:val="none" w:sz="0" w:space="0" w:color="auto"/>
        <w:bottom w:val="none" w:sz="0" w:space="0" w:color="auto"/>
        <w:right w:val="none" w:sz="0" w:space="0" w:color="auto"/>
      </w:divBdr>
    </w:div>
    <w:div w:id="1419978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osfoso@cms.hhs.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508</Words>
  <Characters>2898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lpstr>
    </vt:vector>
  </TitlesOfParts>
  <Company>Crestwood Behavioral Health, Inc.</Company>
  <LinksUpToDate>false</LinksUpToDate>
  <CharactersWithSpaces>3400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Crestwood Behavioral Health, Inc.</dc:creator>
  <cp:lastModifiedBy>Stan</cp:lastModifiedBy>
  <cp:revision>3</cp:revision>
  <cp:lastPrinted>2007-09-30T18:54:00Z</cp:lastPrinted>
  <dcterms:created xsi:type="dcterms:W3CDTF">2017-12-27T21:58:00Z</dcterms:created>
  <dcterms:modified xsi:type="dcterms:W3CDTF">2017-12-27T21:58:00Z</dcterms:modified>
</cp:coreProperties>
</file>